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385F6">
      <w:pPr>
        <w:spacing w:before="76"/>
        <w:rPr>
          <w:rFonts w:eastAsiaTheme="minorEastAsia"/>
          <w:b/>
          <w:bCs/>
          <w:sz w:val="18"/>
          <w:szCs w:val="18"/>
          <w:lang w:eastAsia="zh-CN"/>
        </w:rPr>
      </w:pPr>
      <w:r>
        <w:rPr>
          <w:b/>
          <w:bCs/>
          <w:sz w:val="18"/>
          <w:szCs w:val="18"/>
        </w:rPr>
        <w:t>Supplementary Table 1</w:t>
      </w:r>
      <w:r>
        <w:rPr>
          <w:rFonts w:hint="eastAsia" w:ascii="宋体" w:hAnsi="宋体" w:eastAsia="宋体" w:cs="宋体"/>
          <w:b/>
          <w:bCs/>
          <w:sz w:val="18"/>
          <w:szCs w:val="18"/>
          <w:lang w:eastAsia="zh-CN"/>
        </w:rPr>
        <w:t>.</w:t>
      </w:r>
      <w:r>
        <w:rPr>
          <w:b/>
          <w:bCs/>
          <w:sz w:val="18"/>
          <w:szCs w:val="18"/>
        </w:rPr>
        <w:t xml:space="preserve"> Primer sequences for quantitative </w:t>
      </w:r>
      <w:r>
        <w:rPr>
          <w:rFonts w:hint="eastAsia" w:eastAsiaTheme="minorEastAsia"/>
          <w:b/>
          <w:bCs/>
          <w:sz w:val="18"/>
          <w:szCs w:val="18"/>
          <w:lang w:eastAsia="zh-CN"/>
        </w:rPr>
        <w:t>q</w:t>
      </w:r>
      <w:r>
        <w:rPr>
          <w:b/>
          <w:bCs/>
          <w:sz w:val="18"/>
          <w:szCs w:val="18"/>
        </w:rPr>
        <w:t>RT</w:t>
      </w:r>
      <w:r>
        <w:rPr>
          <w:rFonts w:hint="eastAsia" w:eastAsiaTheme="minorEastAsia"/>
          <w:b/>
          <w:bCs/>
          <w:sz w:val="18"/>
          <w:szCs w:val="18"/>
          <w:lang w:eastAsia="zh-CN"/>
        </w:rPr>
        <w:t>-</w:t>
      </w:r>
      <w:r>
        <w:rPr>
          <w:b/>
          <w:bCs/>
          <w:sz w:val="18"/>
          <w:szCs w:val="18"/>
        </w:rPr>
        <w:t>PCR</w:t>
      </w:r>
    </w:p>
    <w:p w14:paraId="0BD58F69">
      <w:pPr>
        <w:spacing w:before="76"/>
        <w:rPr>
          <w:rFonts w:eastAsiaTheme="minorEastAsia"/>
          <w:b/>
          <w:bCs/>
          <w:sz w:val="18"/>
          <w:szCs w:val="18"/>
          <w:lang w:eastAsia="zh-CN"/>
        </w:rPr>
      </w:pPr>
    </w:p>
    <w:tbl>
      <w:tblPr>
        <w:tblStyle w:val="17"/>
        <w:tblW w:w="5000" w:type="pct"/>
        <w:tblInd w:w="0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890"/>
        <w:gridCol w:w="5176"/>
      </w:tblGrid>
      <w:tr w14:paraId="087C7A42"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4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 w14:paraId="44637471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  <w:r>
              <w:rPr>
                <w:rFonts w:eastAsia="宋体"/>
                <w:sz w:val="18"/>
                <w:szCs w:val="18"/>
                <w:lang w:eastAsia="zh-CN"/>
              </w:rPr>
              <w:t>ene</w:t>
            </w:r>
          </w:p>
        </w:tc>
        <w:tc>
          <w:tcPr>
            <w:tcW w:w="1109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 w14:paraId="1F70D0C8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 w14:paraId="3676D95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Sequences</w:t>
            </w:r>
          </w:p>
        </w:tc>
      </w:tr>
      <w:tr w14:paraId="6B7301B8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5D652BEB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GFAP</w:t>
            </w:r>
          </w:p>
        </w:tc>
        <w:tc>
          <w:tcPr>
            <w:tcW w:w="1109" w:type="pct"/>
            <w:noWrap/>
          </w:tcPr>
          <w:p w14:paraId="0D52C318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3B1338B3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5′-ACATCGAGATCGCCACCTACA-3′</w:t>
            </w:r>
          </w:p>
        </w:tc>
      </w:tr>
      <w:tr w14:paraId="648D4497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3615CFC1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GFAP</w:t>
            </w:r>
          </w:p>
        </w:tc>
        <w:tc>
          <w:tcPr>
            <w:tcW w:w="1109" w:type="pct"/>
            <w:noWrap/>
          </w:tcPr>
          <w:p w14:paraId="7DCFE5C4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2BAE9B6C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5′-GTCTGCACGGGAATGGTGAT-3′</w:t>
            </w:r>
          </w:p>
        </w:tc>
      </w:tr>
      <w:tr w14:paraId="2EAE1F46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1A8D4434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TUBB3</w:t>
            </w:r>
          </w:p>
        </w:tc>
        <w:tc>
          <w:tcPr>
            <w:tcW w:w="1109" w:type="pct"/>
            <w:noWrap/>
          </w:tcPr>
          <w:p w14:paraId="387E2F38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5BE65740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5′-GGCCAAGGGTCACTACACG-3′</w:t>
            </w:r>
          </w:p>
        </w:tc>
      </w:tr>
      <w:tr w14:paraId="1A80CCF1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68F27EEB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TUBB3</w:t>
            </w:r>
          </w:p>
        </w:tc>
        <w:tc>
          <w:tcPr>
            <w:tcW w:w="1109" w:type="pct"/>
            <w:noWrap/>
          </w:tcPr>
          <w:p w14:paraId="39FBE9F1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104AA3F6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5′-GCAGTCGCAGTTTTCACACTC-3′</w:t>
            </w:r>
          </w:p>
        </w:tc>
      </w:tr>
      <w:tr w14:paraId="7D989321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5A42F258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MAP2</w:t>
            </w:r>
          </w:p>
        </w:tc>
        <w:tc>
          <w:tcPr>
            <w:tcW w:w="1109" w:type="pct"/>
            <w:noWrap/>
          </w:tcPr>
          <w:p w14:paraId="55580E08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2E1F309C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5′-GTAGCAGTCCTGAAAGGTG-3′</w:t>
            </w:r>
          </w:p>
        </w:tc>
      </w:tr>
      <w:tr w14:paraId="38F8914D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61515D9C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MAP2</w:t>
            </w:r>
          </w:p>
        </w:tc>
        <w:tc>
          <w:tcPr>
            <w:tcW w:w="1109" w:type="pct"/>
            <w:noWrap/>
          </w:tcPr>
          <w:p w14:paraId="098116FF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385BE8A3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5′-TTCTTCAGCTGCTAAAGGC-3′</w:t>
            </w:r>
          </w:p>
        </w:tc>
      </w:tr>
      <w:tr w14:paraId="2468F833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32EB19E1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SYN1</w:t>
            </w:r>
          </w:p>
        </w:tc>
        <w:tc>
          <w:tcPr>
            <w:tcW w:w="1109" w:type="pct"/>
            <w:noWrap/>
          </w:tcPr>
          <w:p w14:paraId="004C9D97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16465CF6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5′-ACATTAAAGTAGAACAGGCCGA-3′</w:t>
            </w:r>
          </w:p>
        </w:tc>
      </w:tr>
      <w:tr w14:paraId="37CC2785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6A069286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SYN1</w:t>
            </w:r>
          </w:p>
        </w:tc>
        <w:tc>
          <w:tcPr>
            <w:tcW w:w="1109" w:type="pct"/>
            <w:noWrap/>
          </w:tcPr>
          <w:p w14:paraId="19301478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bookmarkStart w:id="0" w:name="OLE_LINK3"/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  <w:bookmarkEnd w:id="0"/>
          </w:p>
        </w:tc>
        <w:tc>
          <w:tcPr>
            <w:tcW w:w="3037" w:type="pct"/>
            <w:noWrap/>
          </w:tcPr>
          <w:p w14:paraId="648E07BF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5′-CTTCCATATCCACAGAGAATCCA-3′</w:t>
            </w:r>
          </w:p>
        </w:tc>
      </w:tr>
      <w:tr w14:paraId="09C356ED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2E14D9D5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GAPDH</w:t>
            </w:r>
          </w:p>
        </w:tc>
        <w:tc>
          <w:tcPr>
            <w:tcW w:w="1109" w:type="pct"/>
            <w:noWrap/>
          </w:tcPr>
          <w:p w14:paraId="70F582EA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15AC303D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</w:t>
            </w:r>
            <w:bookmarkStart w:id="1" w:name="OLE_LINK1"/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GAAAGCCTGCCGGTGACTAA</w:t>
            </w:r>
            <w:bookmarkEnd w:id="1"/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-3′</w:t>
            </w:r>
          </w:p>
        </w:tc>
      </w:tr>
      <w:tr w14:paraId="181A1A56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0272D34B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GAPDH</w:t>
            </w:r>
          </w:p>
        </w:tc>
        <w:tc>
          <w:tcPr>
            <w:tcW w:w="1109" w:type="pct"/>
            <w:noWrap/>
          </w:tcPr>
          <w:p w14:paraId="0A208930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1D3BBEF9">
            <w:pPr>
              <w:widowControl/>
              <w:autoSpaceDE/>
              <w:autoSpaceDN/>
              <w:spacing w:line="360" w:lineRule="auto"/>
              <w:jc w:val="both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5’-GCCCAATACGACCAAATCAGAG-3’</w:t>
            </w:r>
          </w:p>
        </w:tc>
      </w:tr>
      <w:tr w14:paraId="009FFF0D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25EA6F82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HDAC4</w:t>
            </w:r>
          </w:p>
        </w:tc>
        <w:tc>
          <w:tcPr>
            <w:tcW w:w="1109" w:type="pct"/>
            <w:noWrap/>
          </w:tcPr>
          <w:p w14:paraId="2DC4848D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671DE325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5′-GTTCCAGAGGCAGCACGAG-3′</w:t>
            </w:r>
          </w:p>
        </w:tc>
      </w:tr>
      <w:tr w14:paraId="66B7B4E1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15084BD3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HDAC4</w:t>
            </w:r>
          </w:p>
        </w:tc>
        <w:tc>
          <w:tcPr>
            <w:tcW w:w="1109" w:type="pct"/>
            <w:noWrap/>
          </w:tcPr>
          <w:p w14:paraId="7A5196AC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270E3298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5′-TTGAGGACAAATTCTTGTAACTTCA-3′</w:t>
            </w:r>
          </w:p>
        </w:tc>
      </w:tr>
      <w:tr w14:paraId="167B19B9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30A2F667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HDAC5</w:t>
            </w:r>
          </w:p>
        </w:tc>
        <w:tc>
          <w:tcPr>
            <w:tcW w:w="1109" w:type="pct"/>
            <w:noWrap/>
          </w:tcPr>
          <w:p w14:paraId="76D39F03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2F882EE0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5′-GGAGGGGGAAGTCGTCTC-3′</w:t>
            </w:r>
          </w:p>
        </w:tc>
      </w:tr>
      <w:tr w14:paraId="58C36CB3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0B969997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HDAC5</w:t>
            </w:r>
          </w:p>
        </w:tc>
        <w:tc>
          <w:tcPr>
            <w:tcW w:w="1109" w:type="pct"/>
            <w:noWrap/>
          </w:tcPr>
          <w:p w14:paraId="2B8EDEFE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230D8566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5′-GCCAGCACTGAGGTAAAGC-3′</w:t>
            </w:r>
          </w:p>
        </w:tc>
      </w:tr>
      <w:tr w14:paraId="26564C3C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5C2DF647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HDAC6</w:t>
            </w:r>
          </w:p>
        </w:tc>
        <w:tc>
          <w:tcPr>
            <w:tcW w:w="1109" w:type="pct"/>
            <w:noWrap/>
          </w:tcPr>
          <w:p w14:paraId="6A4DE72B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49AA539B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5′-AGCGGAGGTAAAGAAGAAAGGCAAAATG-3′</w:t>
            </w:r>
          </w:p>
        </w:tc>
      </w:tr>
      <w:tr w14:paraId="0D86B2DB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57B754FD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HDAC6</w:t>
            </w:r>
          </w:p>
        </w:tc>
        <w:tc>
          <w:tcPr>
            <w:tcW w:w="1109" w:type="pct"/>
            <w:noWrap/>
          </w:tcPr>
          <w:p w14:paraId="2F445AC8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6C5B8192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5′-CCAGGCAGGCACAGGAGTATGAGTT-3′</w:t>
            </w:r>
          </w:p>
        </w:tc>
      </w:tr>
      <w:tr w14:paraId="2C6D016F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038835EF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HDAC7</w:t>
            </w:r>
          </w:p>
        </w:tc>
        <w:tc>
          <w:tcPr>
            <w:tcW w:w="1109" w:type="pct"/>
            <w:noWrap/>
          </w:tcPr>
          <w:p w14:paraId="1B89B20C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0C802DE2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5′-AGCGCCTGCACCACCACCTCTTCCT-3′</w:t>
            </w:r>
          </w:p>
        </w:tc>
      </w:tr>
      <w:tr w14:paraId="19C7B4E3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6CDCB9FE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HDAC7</w:t>
            </w:r>
          </w:p>
        </w:tc>
        <w:tc>
          <w:tcPr>
            <w:tcW w:w="1109" w:type="pct"/>
            <w:noWrap/>
          </w:tcPr>
          <w:p w14:paraId="6AD827BA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0178FE7D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5′-CCTGATGCGGGCGTGCTGCTACTACT-3′</w:t>
            </w:r>
          </w:p>
        </w:tc>
      </w:tr>
      <w:tr w14:paraId="4E9C7827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3F6AD3F6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</w:t>
            </w:r>
            <w:r>
              <w:rPr>
                <w:rFonts w:hint="eastAsia" w:eastAsia="等线"/>
                <w:color w:val="333333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09" w:type="pct"/>
            <w:noWrap/>
          </w:tcPr>
          <w:p w14:paraId="0052500D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70D5A15E">
            <w:pPr>
              <w:widowControl/>
              <w:autoSpaceDE/>
              <w:autoSpaceDN/>
              <w:spacing w:line="360" w:lineRule="auto"/>
              <w:jc w:val="both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5′-ATCTCAATGATGCTGTCCTGG-3′</w:t>
            </w:r>
          </w:p>
        </w:tc>
      </w:tr>
      <w:tr w14:paraId="18E344A3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68DC953C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</w:t>
            </w:r>
            <w:r>
              <w:rPr>
                <w:rFonts w:hint="eastAsia" w:eastAsia="等线"/>
                <w:color w:val="333333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09" w:type="pct"/>
            <w:noWrap/>
          </w:tcPr>
          <w:p w14:paraId="7155FF01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0B24ABE6">
            <w:pPr>
              <w:widowControl/>
              <w:autoSpaceDE/>
              <w:autoSpaceDN/>
              <w:spacing w:line="360" w:lineRule="auto"/>
              <w:jc w:val="both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5′-CATGATCTGGGATCTCAGAGG</w:t>
            </w:r>
            <w:r>
              <w:rPr>
                <w:rFonts w:hint="eastAsia" w:eastAsia="等线"/>
                <w:color w:val="333333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3′</w:t>
            </w:r>
          </w:p>
        </w:tc>
      </w:tr>
      <w:tr w14:paraId="7B3ECF33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1D733A24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HDAC9</w:t>
            </w:r>
          </w:p>
        </w:tc>
        <w:tc>
          <w:tcPr>
            <w:tcW w:w="1109" w:type="pct"/>
            <w:noWrap/>
          </w:tcPr>
          <w:p w14:paraId="688A359B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1937582F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5′-CCAGCCACCCTCATGTTACT-3′</w:t>
            </w:r>
          </w:p>
        </w:tc>
      </w:tr>
      <w:tr w14:paraId="3D15451A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339FC659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HDAC9</w:t>
            </w:r>
          </w:p>
        </w:tc>
        <w:tc>
          <w:tcPr>
            <w:tcW w:w="1109" w:type="pct"/>
            <w:noWrap/>
          </w:tcPr>
          <w:p w14:paraId="138910B0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0C51E6F0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5′-TGCTGCTGGTATTGCTTCTG-3′</w:t>
            </w:r>
          </w:p>
        </w:tc>
      </w:tr>
      <w:tr w14:paraId="2F027E9D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7408CDF5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HDAC10</w:t>
            </w:r>
          </w:p>
        </w:tc>
        <w:tc>
          <w:tcPr>
            <w:tcW w:w="1109" w:type="pct"/>
            <w:noWrap/>
          </w:tcPr>
          <w:p w14:paraId="10D23634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forward</w:t>
            </w:r>
          </w:p>
        </w:tc>
        <w:tc>
          <w:tcPr>
            <w:tcW w:w="3037" w:type="pct"/>
            <w:noWrap/>
          </w:tcPr>
          <w:p w14:paraId="6B7628A7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5′-TGGCACCGCTATGAGCAT-3′</w:t>
            </w:r>
          </w:p>
        </w:tc>
      </w:tr>
      <w:tr w14:paraId="2488BD18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54" w:type="pct"/>
            <w:noWrap/>
          </w:tcPr>
          <w:p w14:paraId="0DC00EE7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HDAC10</w:t>
            </w:r>
          </w:p>
        </w:tc>
        <w:tc>
          <w:tcPr>
            <w:tcW w:w="1109" w:type="pct"/>
            <w:noWrap/>
          </w:tcPr>
          <w:p w14:paraId="1C085A6F">
            <w:pPr>
              <w:widowControl/>
              <w:autoSpaceDE/>
              <w:autoSpaceDN/>
              <w:spacing w:line="360" w:lineRule="auto"/>
              <w:jc w:val="center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reverse</w:t>
            </w:r>
          </w:p>
        </w:tc>
        <w:tc>
          <w:tcPr>
            <w:tcW w:w="3037" w:type="pct"/>
            <w:noWrap/>
          </w:tcPr>
          <w:p w14:paraId="078215BE">
            <w:pPr>
              <w:widowControl/>
              <w:autoSpaceDE/>
              <w:autoSpaceDN/>
              <w:spacing w:line="360" w:lineRule="auto"/>
              <w:jc w:val="left"/>
              <w:rPr>
                <w:rFonts w:eastAsia="等线"/>
                <w:color w:val="333333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33"/>
                <w:sz w:val="18"/>
                <w:szCs w:val="18"/>
                <w:lang w:eastAsia="zh-CN"/>
              </w:rPr>
              <w:t>5′-GAGACCAGCACCAGCTCAG-3′</w:t>
            </w:r>
          </w:p>
        </w:tc>
      </w:tr>
    </w:tbl>
    <w:p w14:paraId="5221F587">
      <w:pPr>
        <w:rPr>
          <w:rFonts w:eastAsiaTheme="minorEastAsia"/>
          <w:sz w:val="18"/>
          <w:szCs w:val="18"/>
          <w:lang w:eastAsia="zh-CN"/>
        </w:rPr>
      </w:pPr>
    </w:p>
    <w:p w14:paraId="2E81FD74">
      <w:pPr>
        <w:rPr>
          <w:rFonts w:eastAsiaTheme="minorEastAsia"/>
          <w:sz w:val="18"/>
          <w:szCs w:val="18"/>
          <w:lang w:eastAsia="zh-CN"/>
        </w:rPr>
      </w:pPr>
    </w:p>
    <w:p w14:paraId="1A3E404B">
      <w:pPr>
        <w:widowControl/>
        <w:autoSpaceDE/>
        <w:autoSpaceDN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43BC0975">
      <w:pPr>
        <w:rPr>
          <w:rFonts w:eastAsiaTheme="minorEastAsia"/>
          <w:b/>
          <w:bCs/>
          <w:sz w:val="18"/>
          <w:szCs w:val="18"/>
          <w:lang w:eastAsia="zh-CN"/>
        </w:rPr>
      </w:pPr>
      <w:r>
        <w:rPr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1073785</wp:posOffset>
                </wp:positionH>
                <wp:positionV relativeFrom="paragraph">
                  <wp:posOffset>288925</wp:posOffset>
                </wp:positionV>
                <wp:extent cx="542036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0360" cy="0"/>
                        </a:xfrm>
                        <a:prstGeom prst="line">
                          <a:avLst/>
                        </a:prstGeom>
                        <a:ln w="12192" cap="flat" cmpd="sng">
                          <a:noFill/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4.55pt;margin-top:22.75pt;height:0pt;width:426.8pt;mso-position-horizontal-relative:page;z-index:251659264;mso-width-relative:page;mso-height-relative:page;" filled="f" stroked="f" coordsize="21600,21600" o:gfxdata="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BqzPj1QAAAAoBAAAPAAAAAAAA&#10;AAEAIAAAACIAAABkcnMvZG93bnJldi54bWxQSwECFAAUAAAACACHTuJA4nMtENwBAACwAwAADgAA&#10;AAAAAAABACAAAAAkAQAAZHJzL2Uyb0RvYy54bWxQSwUGAAAAAAYABgBZAQAAcgUAAAAA&#10;">
                <v:fill on="f" focussize="0,0"/>
                <v:stroke on="f" weight="0.96pt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18"/>
          <w:szCs w:val="18"/>
        </w:rPr>
        <w:t>Supplementary Table 2</w:t>
      </w:r>
      <w:r>
        <w:rPr>
          <w:rFonts w:hint="eastAsia" w:eastAsiaTheme="minorEastAsia"/>
          <w:b/>
          <w:bCs/>
          <w:sz w:val="18"/>
          <w:szCs w:val="18"/>
          <w:lang w:eastAsia="zh-CN"/>
        </w:rPr>
        <w:t>.</w:t>
      </w:r>
      <w:r>
        <w:rPr>
          <w:b/>
          <w:bCs/>
          <w:sz w:val="18"/>
          <w:szCs w:val="18"/>
        </w:rPr>
        <w:t xml:space="preserve"> Single-guide RNA sequences for knockout of HDAC1/2/3</w:t>
      </w:r>
    </w:p>
    <w:p w14:paraId="55E52065">
      <w:pPr>
        <w:rPr>
          <w:rFonts w:eastAsiaTheme="minorEastAsia"/>
          <w:b/>
          <w:bCs/>
          <w:sz w:val="18"/>
          <w:szCs w:val="18"/>
          <w:lang w:eastAsia="zh-CN"/>
        </w:rPr>
      </w:pPr>
    </w:p>
    <w:tbl>
      <w:tblPr>
        <w:tblStyle w:val="17"/>
        <w:tblW w:w="5310" w:type="dxa"/>
        <w:jc w:val="center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3968"/>
      </w:tblGrid>
      <w:tr w14:paraId="1AF7D395"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 w14:paraId="4404C248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ene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 w14:paraId="059E0A2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Sequences</w:t>
            </w:r>
          </w:p>
        </w:tc>
      </w:tr>
      <w:tr w14:paraId="5F3BBBDF"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7CC010">
            <w:pPr>
              <w:widowControl/>
              <w:spacing w:line="360" w:lineRule="auto"/>
              <w:jc w:val="center"/>
              <w:textAlignment w:val="center"/>
              <w:rPr>
                <w:rFonts w:eastAsia="宋体"/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kern w:val="2"/>
                <w:sz w:val="18"/>
                <w:szCs w:val="18"/>
                <w:lang w:eastAsia="zh-CN"/>
              </w:rPr>
              <w:t>HDAC1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5D741A">
            <w:pPr>
              <w:widowControl/>
              <w:spacing w:line="360" w:lineRule="auto"/>
              <w:jc w:val="center"/>
              <w:textAlignment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GGACTGTCCAGTATTCGA</w:t>
            </w:r>
          </w:p>
        </w:tc>
      </w:tr>
      <w:tr w14:paraId="3FD0B834"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A33D38">
            <w:pPr>
              <w:widowControl/>
              <w:spacing w:line="360" w:lineRule="auto"/>
              <w:jc w:val="center"/>
              <w:textAlignment w:val="center"/>
              <w:rPr>
                <w:rFonts w:eastAsia="宋体"/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kern w:val="2"/>
                <w:sz w:val="18"/>
                <w:szCs w:val="18"/>
                <w:lang w:eastAsia="zh-CN"/>
              </w:rPr>
              <w:t>HDAC2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47E95E">
            <w:pPr>
              <w:widowControl/>
              <w:spacing w:line="360" w:lineRule="auto"/>
              <w:jc w:val="center"/>
              <w:textAlignment w:val="center"/>
              <w:rPr>
                <w:rFonts w:eastAsiaTheme="minorEastAsia"/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GTTTTGTCAGCTCTCAAC</w:t>
            </w:r>
          </w:p>
        </w:tc>
      </w:tr>
      <w:tr w14:paraId="2A4773F5"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</w:tcPr>
          <w:p w14:paraId="453782E0">
            <w:pPr>
              <w:widowControl/>
              <w:spacing w:line="360" w:lineRule="auto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hint="eastAsia" w:eastAsia="宋体"/>
                <w:color w:val="000000"/>
                <w:kern w:val="2"/>
                <w:sz w:val="18"/>
                <w:szCs w:val="18"/>
                <w:lang w:eastAsia="zh-CN"/>
              </w:rPr>
              <w:t>HDAC3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</w:tcPr>
          <w:p w14:paraId="2E8E75BC">
            <w:pPr>
              <w:widowControl/>
              <w:spacing w:line="360" w:lineRule="auto"/>
              <w:jc w:val="center"/>
              <w:textAlignment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GTTCTGCTCGCGTTACAC</w:t>
            </w:r>
          </w:p>
        </w:tc>
      </w:tr>
    </w:tbl>
    <w:p w14:paraId="7BAB3F9E">
      <w:pPr>
        <w:rPr>
          <w:rFonts w:eastAsiaTheme="minorEastAsia"/>
          <w:sz w:val="18"/>
          <w:szCs w:val="18"/>
          <w:lang w:eastAsia="zh-CN"/>
        </w:rPr>
      </w:pPr>
    </w:p>
    <w:p w14:paraId="602E4F38">
      <w:pPr>
        <w:rPr>
          <w:rFonts w:eastAsiaTheme="minorEastAsia"/>
          <w:sz w:val="18"/>
          <w:szCs w:val="18"/>
          <w:lang w:eastAsia="zh-CN"/>
        </w:rPr>
      </w:pPr>
    </w:p>
    <w:p w14:paraId="430C9770">
      <w:pPr>
        <w:rPr>
          <w:rFonts w:eastAsiaTheme="minorEastAsia"/>
          <w:sz w:val="18"/>
          <w:szCs w:val="18"/>
          <w:lang w:eastAsia="zh-CN"/>
        </w:rPr>
      </w:pPr>
    </w:p>
    <w:p w14:paraId="44E78FFD">
      <w:pPr>
        <w:widowControl/>
        <w:autoSpaceDE/>
        <w:autoSpaceDN/>
        <w:rPr>
          <w:rFonts w:eastAsiaTheme="minorEastAsia"/>
          <w:b/>
          <w:bCs/>
          <w:sz w:val="18"/>
          <w:szCs w:val="18"/>
          <w:lang w:eastAsia="zh-CN"/>
        </w:rPr>
      </w:pPr>
      <w:r>
        <w:rPr>
          <w:b/>
          <w:bCs/>
          <w:sz w:val="18"/>
          <w:szCs w:val="18"/>
        </w:rPr>
        <w:t xml:space="preserve">Supplementary Table </w:t>
      </w:r>
      <w:r>
        <w:rPr>
          <w:rFonts w:hint="eastAsia" w:eastAsia="宋体"/>
          <w:b/>
          <w:bCs/>
          <w:sz w:val="18"/>
          <w:szCs w:val="18"/>
          <w:lang w:eastAsia="zh-CN"/>
        </w:rPr>
        <w:t xml:space="preserve">3. </w:t>
      </w:r>
      <w:r>
        <w:rPr>
          <w:rFonts w:eastAsia="宋体"/>
          <w:b/>
          <w:bCs/>
          <w:sz w:val="18"/>
          <w:szCs w:val="18"/>
          <w:lang w:eastAsia="zh-CN"/>
        </w:rPr>
        <w:t>Antibodies</w:t>
      </w:r>
      <w:r>
        <w:rPr>
          <w:rFonts w:hint="eastAsia" w:eastAsia="宋体"/>
          <w:b/>
          <w:bCs/>
          <w:sz w:val="18"/>
          <w:szCs w:val="18"/>
          <w:lang w:eastAsia="zh-CN"/>
        </w:rPr>
        <w:t xml:space="preserve"> for </w:t>
      </w:r>
      <w:r>
        <w:rPr>
          <w:b/>
          <w:bCs/>
          <w:sz w:val="18"/>
          <w:szCs w:val="18"/>
        </w:rPr>
        <w:t>Western blotting</w:t>
      </w:r>
      <w:r>
        <w:rPr>
          <w:rFonts w:hint="eastAsia" w:eastAsiaTheme="minorEastAsia"/>
          <w:b/>
          <w:bCs/>
          <w:sz w:val="18"/>
          <w:szCs w:val="18"/>
          <w:lang w:eastAsia="zh-CN"/>
        </w:rPr>
        <w:t xml:space="preserve"> and </w:t>
      </w:r>
      <w:r>
        <w:rPr>
          <w:b/>
          <w:bCs/>
          <w:sz w:val="18"/>
          <w:szCs w:val="18"/>
        </w:rPr>
        <w:t>Immunofluorescence staining</w:t>
      </w:r>
    </w:p>
    <w:tbl>
      <w:tblPr>
        <w:tblStyle w:val="16"/>
        <w:tblW w:w="0" w:type="auto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2"/>
        <w:gridCol w:w="1777"/>
        <w:gridCol w:w="1786"/>
        <w:gridCol w:w="1823"/>
        <w:gridCol w:w="918"/>
      </w:tblGrid>
      <w:tr w14:paraId="7D8405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17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71BA6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Antibody Target</w:t>
            </w:r>
          </w:p>
        </w:tc>
        <w:tc>
          <w:tcPr>
            <w:tcW w:w="1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08724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Supplier</w:t>
            </w:r>
          </w:p>
        </w:tc>
        <w:tc>
          <w:tcPr>
            <w:tcW w:w="1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1519D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Catalog No.</w:t>
            </w:r>
          </w:p>
        </w:tc>
        <w:tc>
          <w:tcPr>
            <w:tcW w:w="18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8CECE1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Application(s)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68334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Dilution</w:t>
            </w:r>
          </w:p>
        </w:tc>
      </w:tr>
      <w:tr w14:paraId="7032CD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246" w:type="dxa"/>
            <w:gridSpan w:val="5"/>
            <w:vAlign w:val="center"/>
          </w:tcPr>
          <w:p w14:paraId="591405E3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Primary Antibodies</w:t>
            </w:r>
          </w:p>
        </w:tc>
      </w:tr>
      <w:tr w14:paraId="44F927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798" w:type="dxa"/>
            <w:vAlign w:val="center"/>
          </w:tcPr>
          <w:p w14:paraId="67F9E14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HDAC1</w:t>
            </w:r>
          </w:p>
        </w:tc>
        <w:tc>
          <w:tcPr>
            <w:tcW w:w="1813" w:type="dxa"/>
            <w:vAlign w:val="center"/>
          </w:tcPr>
          <w:p w14:paraId="78443B87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Proteintech Group, Inc., Rosemont, IL, USA</w:t>
            </w:r>
          </w:p>
        </w:tc>
        <w:tc>
          <w:tcPr>
            <w:tcW w:w="1813" w:type="dxa"/>
            <w:vAlign w:val="center"/>
          </w:tcPr>
          <w:p w14:paraId="6CACA8F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66085-1-Ig</w:t>
            </w:r>
          </w:p>
        </w:tc>
        <w:tc>
          <w:tcPr>
            <w:tcW w:w="1812" w:type="dxa"/>
            <w:vAlign w:val="center"/>
          </w:tcPr>
          <w:p w14:paraId="36DB26E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Western Blot</w:t>
            </w:r>
          </w:p>
        </w:tc>
        <w:tc>
          <w:tcPr>
            <w:tcW w:w="890" w:type="dxa"/>
            <w:vAlign w:val="center"/>
          </w:tcPr>
          <w:p w14:paraId="10707304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1: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000</w:t>
            </w:r>
          </w:p>
        </w:tc>
      </w:tr>
      <w:tr w14:paraId="64A8C1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798" w:type="dxa"/>
            <w:vAlign w:val="center"/>
          </w:tcPr>
          <w:p w14:paraId="255B622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HDAC2</w:t>
            </w:r>
          </w:p>
        </w:tc>
        <w:tc>
          <w:tcPr>
            <w:tcW w:w="1813" w:type="dxa"/>
            <w:vAlign w:val="center"/>
          </w:tcPr>
          <w:p w14:paraId="3DD162D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Proteintech Group, Inc., Rosemont, IL, USA</w:t>
            </w:r>
          </w:p>
        </w:tc>
        <w:tc>
          <w:tcPr>
            <w:tcW w:w="1813" w:type="dxa"/>
            <w:vAlign w:val="center"/>
          </w:tcPr>
          <w:p w14:paraId="24CA72F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67165-1-Ig</w:t>
            </w:r>
          </w:p>
        </w:tc>
        <w:tc>
          <w:tcPr>
            <w:tcW w:w="1812" w:type="dxa"/>
            <w:vAlign w:val="center"/>
          </w:tcPr>
          <w:p w14:paraId="05A8DD1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Western Blot</w:t>
            </w:r>
          </w:p>
        </w:tc>
        <w:tc>
          <w:tcPr>
            <w:tcW w:w="890" w:type="dxa"/>
            <w:vAlign w:val="center"/>
          </w:tcPr>
          <w:p w14:paraId="3A36D57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1: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000</w:t>
            </w:r>
          </w:p>
        </w:tc>
      </w:tr>
      <w:tr w14:paraId="1444D2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798" w:type="dxa"/>
            <w:vAlign w:val="center"/>
          </w:tcPr>
          <w:p w14:paraId="39228152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HDAC3</w:t>
            </w:r>
          </w:p>
        </w:tc>
        <w:tc>
          <w:tcPr>
            <w:tcW w:w="1813" w:type="dxa"/>
            <w:vAlign w:val="center"/>
          </w:tcPr>
          <w:p w14:paraId="7BC8038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Proteintech Group, Inc., Rosemont, IL, USA</w:t>
            </w:r>
          </w:p>
        </w:tc>
        <w:tc>
          <w:tcPr>
            <w:tcW w:w="1813" w:type="dxa"/>
            <w:vAlign w:val="center"/>
          </w:tcPr>
          <w:p w14:paraId="433D0D1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67151-1-Ig</w:t>
            </w:r>
          </w:p>
        </w:tc>
        <w:tc>
          <w:tcPr>
            <w:tcW w:w="1812" w:type="dxa"/>
            <w:vAlign w:val="center"/>
          </w:tcPr>
          <w:p w14:paraId="182D0A1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Western Blot</w:t>
            </w:r>
          </w:p>
        </w:tc>
        <w:tc>
          <w:tcPr>
            <w:tcW w:w="890" w:type="dxa"/>
            <w:vAlign w:val="center"/>
          </w:tcPr>
          <w:p w14:paraId="12E91E87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1: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000</w:t>
            </w:r>
          </w:p>
        </w:tc>
      </w:tr>
      <w:tr w14:paraId="020BD5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798" w:type="dxa"/>
            <w:vAlign w:val="center"/>
          </w:tcPr>
          <w:p w14:paraId="2F49479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GFAP</w:t>
            </w:r>
          </w:p>
        </w:tc>
        <w:tc>
          <w:tcPr>
            <w:tcW w:w="1813" w:type="dxa"/>
            <w:vAlign w:val="center"/>
          </w:tcPr>
          <w:p w14:paraId="294D055D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ABclonal Technology, Woburn, MA, USA</w:t>
            </w:r>
          </w:p>
        </w:tc>
        <w:tc>
          <w:tcPr>
            <w:tcW w:w="1813" w:type="dxa"/>
            <w:vAlign w:val="center"/>
          </w:tcPr>
          <w:p w14:paraId="0AD3848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A19058</w:t>
            </w:r>
          </w:p>
        </w:tc>
        <w:tc>
          <w:tcPr>
            <w:tcW w:w="1812" w:type="dxa"/>
            <w:vAlign w:val="center"/>
          </w:tcPr>
          <w:p w14:paraId="6F8FC3F2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Immunofluorescence</w:t>
            </w:r>
          </w:p>
        </w:tc>
        <w:tc>
          <w:tcPr>
            <w:tcW w:w="890" w:type="dxa"/>
            <w:vAlign w:val="center"/>
          </w:tcPr>
          <w:p w14:paraId="795D0EC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1: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10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00</w:t>
            </w:r>
          </w:p>
        </w:tc>
      </w:tr>
      <w:tr w14:paraId="38EB26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798" w:type="dxa"/>
            <w:vAlign w:val="center"/>
          </w:tcPr>
          <w:p w14:paraId="1AF97D4A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TUBB3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CoraLite®594-conjugated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13" w:type="dxa"/>
            <w:vAlign w:val="center"/>
          </w:tcPr>
          <w:p w14:paraId="70483562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Proteintech Group, Inc., Rosemont, IL, USA</w:t>
            </w:r>
          </w:p>
        </w:tc>
        <w:tc>
          <w:tcPr>
            <w:tcW w:w="1813" w:type="dxa"/>
            <w:vAlign w:val="center"/>
          </w:tcPr>
          <w:p w14:paraId="1D34D59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CL594-66375</w:t>
            </w:r>
          </w:p>
        </w:tc>
        <w:tc>
          <w:tcPr>
            <w:tcW w:w="1812" w:type="dxa"/>
            <w:vAlign w:val="center"/>
          </w:tcPr>
          <w:p w14:paraId="0EF36F7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Immunofluorescence</w:t>
            </w:r>
          </w:p>
        </w:tc>
        <w:tc>
          <w:tcPr>
            <w:tcW w:w="890" w:type="dxa"/>
            <w:vAlign w:val="center"/>
          </w:tcPr>
          <w:p w14:paraId="2C078E4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1: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00</w:t>
            </w:r>
          </w:p>
        </w:tc>
      </w:tr>
      <w:tr w14:paraId="58A148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798" w:type="dxa"/>
            <w:vAlign w:val="center"/>
          </w:tcPr>
          <w:p w14:paraId="301E65E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Anti-Ki67</w:t>
            </w:r>
          </w:p>
        </w:tc>
        <w:tc>
          <w:tcPr>
            <w:tcW w:w="1813" w:type="dxa"/>
          </w:tcPr>
          <w:p w14:paraId="19394CA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Abcam plc, Cambridge, UK</w:t>
            </w:r>
          </w:p>
        </w:tc>
        <w:tc>
          <w:tcPr>
            <w:tcW w:w="1813" w:type="dxa"/>
          </w:tcPr>
          <w:p w14:paraId="463F744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ab16667</w:t>
            </w:r>
          </w:p>
        </w:tc>
        <w:tc>
          <w:tcPr>
            <w:tcW w:w="1812" w:type="dxa"/>
            <w:vAlign w:val="center"/>
          </w:tcPr>
          <w:p w14:paraId="0B5D4D3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Immunofluorescence</w:t>
            </w:r>
          </w:p>
        </w:tc>
        <w:tc>
          <w:tcPr>
            <w:tcW w:w="890" w:type="dxa"/>
            <w:vAlign w:val="center"/>
          </w:tcPr>
          <w:p w14:paraId="15682D5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1: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00</w:t>
            </w:r>
          </w:p>
        </w:tc>
      </w:tr>
      <w:tr w14:paraId="79FEB8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798" w:type="dxa"/>
            <w:vAlign w:val="center"/>
          </w:tcPr>
          <w:p w14:paraId="3E6E641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GAPDH</w:t>
            </w:r>
          </w:p>
        </w:tc>
        <w:tc>
          <w:tcPr>
            <w:tcW w:w="1813" w:type="dxa"/>
            <w:vAlign w:val="center"/>
          </w:tcPr>
          <w:p w14:paraId="2C02FCF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Proteintech Group, Inc., Rosemont, IL, USA</w:t>
            </w:r>
          </w:p>
        </w:tc>
        <w:tc>
          <w:tcPr>
            <w:tcW w:w="1813" w:type="dxa"/>
            <w:vAlign w:val="center"/>
          </w:tcPr>
          <w:p w14:paraId="09AF0FB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60004-1-Ig</w:t>
            </w:r>
          </w:p>
        </w:tc>
        <w:tc>
          <w:tcPr>
            <w:tcW w:w="1812" w:type="dxa"/>
            <w:vAlign w:val="center"/>
          </w:tcPr>
          <w:p w14:paraId="1BFB52C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Western Blot</w:t>
            </w:r>
          </w:p>
        </w:tc>
        <w:tc>
          <w:tcPr>
            <w:tcW w:w="890" w:type="dxa"/>
            <w:vAlign w:val="center"/>
          </w:tcPr>
          <w:p w14:paraId="13A3479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1: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50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000</w:t>
            </w:r>
          </w:p>
        </w:tc>
      </w:tr>
      <w:tr w14:paraId="55C6E2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246" w:type="dxa"/>
            <w:gridSpan w:val="5"/>
            <w:tcBorders>
              <w:top w:val="single" w:color="auto" w:sz="4" w:space="0"/>
            </w:tcBorders>
            <w:vAlign w:val="center"/>
          </w:tcPr>
          <w:p w14:paraId="4D1911A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Secondary Antibodies</w:t>
            </w:r>
          </w:p>
        </w:tc>
      </w:tr>
      <w:tr w14:paraId="4DBF82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798" w:type="dxa"/>
            <w:vAlign w:val="center"/>
          </w:tcPr>
          <w:p w14:paraId="49FD4F5B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Goat anti-Rabbit IgG (H+L), Alexa Fluor® 488</w:t>
            </w:r>
          </w:p>
        </w:tc>
        <w:tc>
          <w:tcPr>
            <w:tcW w:w="1813" w:type="dxa"/>
            <w:vAlign w:val="center"/>
          </w:tcPr>
          <w:p w14:paraId="15DA300D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Abcam plc, Cambridge, UK</w:t>
            </w:r>
          </w:p>
        </w:tc>
        <w:tc>
          <w:tcPr>
            <w:tcW w:w="1813" w:type="dxa"/>
            <w:vAlign w:val="center"/>
          </w:tcPr>
          <w:p w14:paraId="6E721BF7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ab150077</w:t>
            </w:r>
          </w:p>
        </w:tc>
        <w:tc>
          <w:tcPr>
            <w:tcW w:w="1812" w:type="dxa"/>
            <w:vAlign w:val="center"/>
          </w:tcPr>
          <w:p w14:paraId="2AA7CA3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Immunofluorescence</w:t>
            </w:r>
          </w:p>
        </w:tc>
        <w:tc>
          <w:tcPr>
            <w:tcW w:w="890" w:type="dxa"/>
            <w:vAlign w:val="center"/>
          </w:tcPr>
          <w:p w14:paraId="02067B94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1:1000</w:t>
            </w:r>
          </w:p>
        </w:tc>
      </w:tr>
      <w:tr w14:paraId="5580E7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798" w:type="dxa"/>
            <w:vAlign w:val="center"/>
          </w:tcPr>
          <w:p w14:paraId="46EE24A4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Goat anti-Rabbit IgG (H+L), Alexa Fluor® 594</w:t>
            </w:r>
          </w:p>
        </w:tc>
        <w:tc>
          <w:tcPr>
            <w:tcW w:w="1813" w:type="dxa"/>
            <w:vAlign w:val="center"/>
          </w:tcPr>
          <w:p w14:paraId="39007D3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Abcam plc, Cambridge, UK</w:t>
            </w:r>
          </w:p>
        </w:tc>
        <w:tc>
          <w:tcPr>
            <w:tcW w:w="1813" w:type="dxa"/>
            <w:vAlign w:val="center"/>
          </w:tcPr>
          <w:p w14:paraId="62D0BEC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ab150080</w:t>
            </w:r>
          </w:p>
        </w:tc>
        <w:tc>
          <w:tcPr>
            <w:tcW w:w="1812" w:type="dxa"/>
            <w:vAlign w:val="center"/>
          </w:tcPr>
          <w:p w14:paraId="7D33FF01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Immunofluorescence</w:t>
            </w:r>
          </w:p>
        </w:tc>
        <w:tc>
          <w:tcPr>
            <w:tcW w:w="890" w:type="dxa"/>
            <w:vAlign w:val="center"/>
          </w:tcPr>
          <w:p w14:paraId="4ECACF5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1:1000</w:t>
            </w:r>
          </w:p>
        </w:tc>
      </w:tr>
      <w:tr w14:paraId="79FD78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798" w:type="dxa"/>
            <w:tcBorders>
              <w:bottom w:val="single" w:color="auto" w:sz="4" w:space="0"/>
            </w:tcBorders>
            <w:vAlign w:val="center"/>
          </w:tcPr>
          <w:p w14:paraId="4D39B64D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HRP-conjugated Goat Anti-Mouse IgG(H+L)</w:t>
            </w:r>
          </w:p>
        </w:tc>
        <w:tc>
          <w:tcPr>
            <w:tcW w:w="1813" w:type="dxa"/>
            <w:tcBorders>
              <w:bottom w:val="single" w:color="auto" w:sz="4" w:space="0"/>
            </w:tcBorders>
            <w:vAlign w:val="center"/>
          </w:tcPr>
          <w:p w14:paraId="3A13930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Proteintech Group, Inc., Rosemont, IL, USA</w:t>
            </w:r>
          </w:p>
        </w:tc>
        <w:tc>
          <w:tcPr>
            <w:tcW w:w="1813" w:type="dxa"/>
            <w:tcBorders>
              <w:bottom w:val="single" w:color="auto" w:sz="4" w:space="0"/>
            </w:tcBorders>
            <w:vAlign w:val="center"/>
          </w:tcPr>
          <w:p w14:paraId="1BFCFC7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SA00001-1</w:t>
            </w:r>
          </w:p>
        </w:tc>
        <w:tc>
          <w:tcPr>
            <w:tcW w:w="1812" w:type="dxa"/>
            <w:tcBorders>
              <w:bottom w:val="single" w:color="auto" w:sz="4" w:space="0"/>
            </w:tcBorders>
            <w:vAlign w:val="center"/>
          </w:tcPr>
          <w:p w14:paraId="536F2C0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Western Blot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vAlign w:val="center"/>
          </w:tcPr>
          <w:p w14:paraId="6AF9534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1: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000</w:t>
            </w:r>
          </w:p>
        </w:tc>
      </w:tr>
    </w:tbl>
    <w:p w14:paraId="417DC390">
      <w:pPr>
        <w:rPr>
          <w:rFonts w:eastAsiaTheme="minorEastAsia"/>
          <w:sz w:val="18"/>
          <w:szCs w:val="18"/>
          <w:lang w:eastAsia="zh-CN"/>
        </w:rPr>
      </w:pPr>
    </w:p>
    <w:p w14:paraId="5562A803">
      <w:pPr>
        <w:widowControl/>
        <w:autoSpaceDE/>
        <w:autoSpaceDN/>
        <w:rPr>
          <w:rFonts w:eastAsiaTheme="minorEastAsia"/>
          <w:b/>
          <w:bCs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br w:type="page"/>
      </w:r>
      <w:r>
        <w:rPr>
          <w:b/>
          <w:bCs/>
          <w:sz w:val="18"/>
          <w:szCs w:val="18"/>
        </w:rPr>
        <w:t>Supplementary Table</w:t>
      </w:r>
      <w:r>
        <w:rPr>
          <w:rFonts w:hint="eastAsia" w:eastAsiaTheme="minorEastAsia"/>
          <w:b/>
          <w:bCs/>
          <w:sz w:val="18"/>
          <w:szCs w:val="18"/>
          <w:lang w:eastAsia="zh-CN"/>
        </w:rPr>
        <w:t xml:space="preserve"> 4. </w:t>
      </w:r>
      <w:r>
        <w:rPr>
          <w:rFonts w:eastAsiaTheme="minorEastAsia"/>
          <w:b/>
          <w:bCs/>
          <w:sz w:val="18"/>
          <w:szCs w:val="18"/>
          <w:lang w:eastAsia="zh-CN"/>
        </w:rPr>
        <w:t>IC₅₀ values of TMZ with 95% confidence intervals and R² values</w:t>
      </w:r>
    </w:p>
    <w:p w14:paraId="58D5CF5F">
      <w:pPr>
        <w:rPr>
          <w:rFonts w:eastAsiaTheme="minorEastAsia"/>
          <w:sz w:val="18"/>
          <w:szCs w:val="18"/>
          <w:lang w:eastAsia="zh-CN"/>
        </w:rPr>
      </w:pPr>
    </w:p>
    <w:tbl>
      <w:tblPr>
        <w:tblStyle w:val="17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547"/>
        <w:gridCol w:w="1116"/>
        <w:gridCol w:w="1573"/>
        <w:gridCol w:w="2103"/>
        <w:gridCol w:w="1012"/>
      </w:tblGrid>
      <w:tr w14:paraId="743B958B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26" w:type="dxa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59225D37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bookmarkStart w:id="2" w:name="_Hlk231513375"/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Figure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65EDD73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Cell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0624FC8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HDACi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6579693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IC50</w:t>
            </w:r>
            <w:r>
              <w:rPr>
                <w:rFonts w:hint="eastAsia" w:eastAsiaTheme="minor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(μM)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9387C8B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 xml:space="preserve">95% </w:t>
            </w:r>
            <w:r>
              <w:rPr>
                <w:rFonts w:hint="eastAsia" w:eastAsiaTheme="minorEastAsia"/>
                <w:b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onfidence intervals</w:t>
            </w:r>
            <w:r>
              <w:rPr>
                <w:rFonts w:hint="eastAsia" w:eastAsiaTheme="minor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(μM)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270E8CC8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R squared</w:t>
            </w:r>
          </w:p>
        </w:tc>
      </w:tr>
      <w:bookmarkEnd w:id="2"/>
      <w:tr w14:paraId="38365FA5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restart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2CE4DAE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1A</w:t>
            </w:r>
          </w:p>
        </w:tc>
        <w:tc>
          <w:tcPr>
            <w:tcW w:w="154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2AD9412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U251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816686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7C5B0CE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456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4C0C269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300.7 to 721.6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0931026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0.9654</w:t>
            </w:r>
          </w:p>
        </w:tc>
      </w:tr>
      <w:tr w14:paraId="52234DA7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19000D31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206D8E2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BBB25E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Tucidinostat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3F25B0B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236.5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23FA7823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156.0 to 364.4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5ADFAE01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0.96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00</w:t>
            </w:r>
          </w:p>
        </w:tc>
      </w:tr>
      <w:tr w14:paraId="3994B1D9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2F66F21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B61F77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85FFA1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Vorinostat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542320D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351.3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62B083A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229.6 to 558.6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28B8189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0.9636</w:t>
            </w:r>
          </w:p>
        </w:tc>
      </w:tr>
      <w:tr w14:paraId="5CB62549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1877ACD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22FB51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B42F12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Entinostat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15A72007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168.2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478461B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133.6 to 211.5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3CA68E84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0.9868</w:t>
            </w:r>
          </w:p>
        </w:tc>
      </w:tr>
      <w:tr w14:paraId="74A86B07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restart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52C1385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1B</w:t>
            </w:r>
          </w:p>
        </w:tc>
        <w:tc>
          <w:tcPr>
            <w:tcW w:w="154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99C0F44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U87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302887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1F56220D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978.9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466504E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590.6 to 1824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2C7A8E0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0.9693</w:t>
            </w:r>
          </w:p>
        </w:tc>
      </w:tr>
      <w:tr w14:paraId="17A6B335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7C1ED15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552FDA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BD9EF4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Tucidinostat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7A3736D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397.7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333FA15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282.2 to 564.2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2B1D21C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0.9811</w:t>
            </w:r>
          </w:p>
        </w:tc>
      </w:tr>
      <w:tr w14:paraId="64376931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7135A3C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1D94451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71E994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Vorinostat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43849267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642.5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4FF150D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405.2 to 1077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77B7E0C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0.9668</w:t>
            </w:r>
          </w:p>
        </w:tc>
      </w:tr>
      <w:tr w14:paraId="3A7AA3B6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3CCB657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200C9A4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3448DFD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Entinostat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391899A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507.2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7FCB5A4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351.7 to 745.6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37545CD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0.9761</w:t>
            </w:r>
          </w:p>
        </w:tc>
      </w:tr>
      <w:tr w14:paraId="1D5E93BA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restart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0DE73D6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1C</w:t>
            </w:r>
          </w:p>
        </w:tc>
        <w:tc>
          <w:tcPr>
            <w:tcW w:w="154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B2B92C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LN229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1AAA78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0B0FFEE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2250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7FB242B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1459 to 4013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74B6A18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0.9878</w:t>
            </w:r>
          </w:p>
        </w:tc>
      </w:tr>
      <w:tr w14:paraId="1BF9253E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5056138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137C41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3695F2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Tucidinostat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033E4FF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810.3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088E1E4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443.3 to 1681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4F2D67E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0.9363</w:t>
            </w:r>
          </w:p>
        </w:tc>
      </w:tr>
      <w:tr w14:paraId="48CD0926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4016758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8A7396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252B05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Vorinostat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19F71EC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1704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38658BD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1066 to 3146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2AB3A4F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0.9794</w:t>
            </w:r>
          </w:p>
        </w:tc>
      </w:tr>
      <w:tr w14:paraId="703C79D2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7CE4DA1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28F4B51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E494DA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Entinostat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4961E8D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807.3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14:paraId="4C2E81B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465.1 to 1552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</w:tcPr>
          <w:p w14:paraId="2F33C5E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0.9514</w:t>
            </w:r>
          </w:p>
        </w:tc>
      </w:tr>
      <w:tr w14:paraId="4165043C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restart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1DA8080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</w:t>
            </w:r>
            <w:r>
              <w:rPr>
                <w:rFonts w:hint="eastAsia" w:eastAsia="等线"/>
                <w:color w:val="000000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154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248913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U251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4F8CC4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1933C57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802</w:t>
            </w:r>
            <w:r>
              <w:rPr>
                <w:rFonts w:hint="eastAsia" w:eastAsia="等线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87E9FC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469.2 to 1525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1CC4B51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0.9705</w:t>
            </w:r>
          </w:p>
        </w:tc>
      </w:tr>
      <w:tr w14:paraId="61EC8C0D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5B603E72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64894A7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97B7A1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Entinostat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7AC92D3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226.9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289AF6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162.2 to 319.8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6719C02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0.9823</w:t>
            </w:r>
          </w:p>
        </w:tc>
      </w:tr>
      <w:tr w14:paraId="2B944639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4AC5B54D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DC9180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6AA875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Tucidinostat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353E0FD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253.6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3EB306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129.7 to 518.8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20AD1891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0.9288</w:t>
            </w:r>
          </w:p>
        </w:tc>
      </w:tr>
      <w:tr w14:paraId="56AD1F67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7256C07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52355B4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U251 HDACs KO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79B893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04830F5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886.4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C8B045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558.4 to 1525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7C334A0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0.9795</w:t>
            </w:r>
          </w:p>
        </w:tc>
      </w:tr>
      <w:tr w14:paraId="4FD3FF54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4A9A994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7F7BB2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5D35FA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Entinostat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181C0C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514.4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9CDBFE7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330.2 to 841.3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2547D57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0.9755</w:t>
            </w:r>
          </w:p>
        </w:tc>
      </w:tr>
      <w:tr w14:paraId="476A17F2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12F72AF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F37D2F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BA639E3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Tucidinostat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D9DBA3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469.7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6FE07C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300.2 to 775.6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4A7D63C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0.9699</w:t>
            </w:r>
          </w:p>
        </w:tc>
      </w:tr>
      <w:tr w14:paraId="19F5C563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restart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4C257767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</w:t>
            </w:r>
            <w:r>
              <w:rPr>
                <w:rFonts w:hint="eastAsia" w:eastAsia="等线"/>
                <w:color w:val="000000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154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462981D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U87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572676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7D2669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1318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DB7C77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758.5 to 2758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6E6B0042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0.97</w:t>
            </w:r>
            <w:r>
              <w:rPr>
                <w:rFonts w:hint="eastAsia" w:eastAsia="等线"/>
                <w:sz w:val="18"/>
                <w:szCs w:val="18"/>
                <w:lang w:eastAsia="zh-CN"/>
              </w:rPr>
              <w:t>00</w:t>
            </w:r>
          </w:p>
        </w:tc>
      </w:tr>
      <w:tr w14:paraId="030F3D74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04A21F8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AA0A9ED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0A3DD2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Entinostat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2A8910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169</w:t>
            </w:r>
            <w:r>
              <w:rPr>
                <w:rFonts w:hint="eastAsia" w:eastAsia="等线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7D13142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129.1 to 220.9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4F5B77C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0.987</w:t>
            </w:r>
            <w:r>
              <w:rPr>
                <w:rFonts w:hint="eastAsia" w:eastAsia="等线"/>
                <w:sz w:val="18"/>
                <w:szCs w:val="18"/>
                <w:lang w:eastAsia="zh-CN"/>
              </w:rPr>
              <w:t>0</w:t>
            </w:r>
          </w:p>
        </w:tc>
      </w:tr>
      <w:tr w14:paraId="6185C496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7AB54009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666A29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A794FD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Tucidinostat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99EF84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644.8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2A7DA7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392.3 to 1144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4C75E2A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0.9667</w:t>
            </w:r>
          </w:p>
        </w:tc>
      </w:tr>
      <w:tr w14:paraId="75ECF4EC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63D3A21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8FECA10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U87 HDACs KO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19AA2FF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1223607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1298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87F7F83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748.5 to 2680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3E4B9DA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0.9703</w:t>
            </w:r>
          </w:p>
        </w:tc>
      </w:tr>
      <w:tr w14:paraId="362113FE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1E7D045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D1C21CC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B495EAE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Entinostat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D91AFB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421.7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90F147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286.7 to 638.3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128FEA6D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0.9716</w:t>
            </w:r>
          </w:p>
        </w:tc>
      </w:tr>
      <w:tr w14:paraId="53F49550">
        <w:tblPrEx>
          <w:tblBorders>
            <w:top w:val="single" w:color="auto" w:sz="4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26" w:type="dxa"/>
            <w:vMerge w:val="continue"/>
            <w:tcBorders>
              <w:top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2E08BA3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5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FDB7EC8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29B931A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Tucidinostat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F884376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1067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990DF7B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695.2 to 1777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</w:tcBorders>
            <w:noWrap/>
            <w:vAlign w:val="center"/>
          </w:tcPr>
          <w:p w14:paraId="75DA54D0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</w:rPr>
              <w:t>0.9845</w:t>
            </w:r>
          </w:p>
        </w:tc>
      </w:tr>
    </w:tbl>
    <w:p w14:paraId="15B9C9CD">
      <w:pPr>
        <w:rPr>
          <w:rFonts w:eastAsiaTheme="minorEastAsia"/>
          <w:sz w:val="18"/>
          <w:szCs w:val="18"/>
          <w:lang w:eastAsia="zh-CN"/>
        </w:rPr>
      </w:pPr>
    </w:p>
    <w:p w14:paraId="1B8D06E8">
      <w:pPr>
        <w:rPr>
          <w:rFonts w:eastAsiaTheme="minorEastAsia"/>
          <w:sz w:val="18"/>
          <w:szCs w:val="18"/>
          <w:lang w:eastAsia="zh-CN"/>
        </w:rPr>
      </w:pPr>
    </w:p>
    <w:p w14:paraId="44D18041">
      <w:pPr>
        <w:rPr>
          <w:rFonts w:eastAsiaTheme="minorEastAsia"/>
          <w:sz w:val="18"/>
          <w:szCs w:val="18"/>
          <w:lang w:eastAsia="zh-CN"/>
        </w:rPr>
      </w:pPr>
    </w:p>
    <w:p w14:paraId="01082B53">
      <w:pPr>
        <w:rPr>
          <w:rFonts w:eastAsiaTheme="minorEastAsia"/>
          <w:sz w:val="18"/>
          <w:szCs w:val="18"/>
          <w:lang w:eastAsia="zh-CN"/>
        </w:rPr>
      </w:pPr>
    </w:p>
    <w:p w14:paraId="022926E9">
      <w:pPr>
        <w:rPr>
          <w:rFonts w:eastAsiaTheme="minorEastAsia"/>
          <w:b/>
          <w:bCs/>
          <w:sz w:val="18"/>
          <w:szCs w:val="18"/>
          <w:lang w:eastAsia="zh-CN"/>
        </w:rPr>
      </w:pPr>
    </w:p>
    <w:p w14:paraId="2201722B">
      <w:pPr>
        <w:ind w:right="1320"/>
        <w:jc w:val="right"/>
        <w:rPr>
          <w:rFonts w:eastAsiaTheme="minorEastAsia"/>
          <w:b/>
          <w:bCs/>
          <w:sz w:val="18"/>
          <w:szCs w:val="18"/>
          <w:lang w:eastAsia="zh-CN"/>
        </w:rPr>
      </w:pPr>
      <w:r>
        <w:rPr>
          <w:sz w:val="18"/>
          <w:szCs w:val="18"/>
          <w14:ligatures w14:val="standardContextual"/>
        </w:rPr>
        <w:drawing>
          <wp:inline distT="0" distB="0" distL="0" distR="0">
            <wp:extent cx="2831465" cy="1809750"/>
            <wp:effectExtent l="0" t="0" r="6985" b="0"/>
            <wp:docPr id="15918599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85992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43521" cy="181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03168">
      <w:pPr>
        <w:rPr>
          <w:rFonts w:eastAsiaTheme="minorEastAsia"/>
          <w:b/>
          <w:bCs/>
          <w:sz w:val="18"/>
          <w:szCs w:val="18"/>
          <w:lang w:eastAsia="zh-CN"/>
        </w:rPr>
      </w:pPr>
    </w:p>
    <w:p w14:paraId="5522E90D">
      <w:pPr>
        <w:rPr>
          <w:rFonts w:eastAsiaTheme="minorEastAsia"/>
          <w:sz w:val="18"/>
          <w:szCs w:val="18"/>
          <w:lang w:eastAsia="zh-CN"/>
        </w:rPr>
      </w:pPr>
      <w:r>
        <w:rPr>
          <w:rFonts w:eastAsiaTheme="minorEastAsia"/>
          <w:b/>
          <w:bCs/>
          <w:sz w:val="18"/>
          <w:szCs w:val="18"/>
          <w:lang w:eastAsia="zh-CN"/>
        </w:rPr>
        <w:t>Supplementary Fig</w:t>
      </w:r>
      <w:r>
        <w:rPr>
          <w:rFonts w:hint="eastAsia" w:eastAsiaTheme="minorEastAsia"/>
          <w:b/>
          <w:bCs/>
          <w:sz w:val="18"/>
          <w:szCs w:val="18"/>
          <w:lang w:val="en-US" w:eastAsia="zh-CN"/>
        </w:rPr>
        <w:t>.</w:t>
      </w:r>
      <w:r>
        <w:rPr>
          <w:rFonts w:eastAsiaTheme="minorEastAsia"/>
          <w:b/>
          <w:bCs/>
          <w:sz w:val="18"/>
          <w:szCs w:val="18"/>
          <w:lang w:eastAsia="zh-CN"/>
        </w:rPr>
        <w:t xml:space="preserve"> 1</w:t>
      </w:r>
      <w:r>
        <w:rPr>
          <w:rFonts w:hint="eastAsia" w:eastAsiaTheme="minorEastAsia"/>
          <w:b/>
          <w:bCs/>
          <w:sz w:val="18"/>
          <w:szCs w:val="18"/>
          <w:lang w:val="en-US" w:eastAsia="zh-CN"/>
        </w:rPr>
        <w:t>.</w:t>
      </w:r>
      <w:r>
        <w:rPr>
          <w:rFonts w:eastAsiaTheme="minorEastAsia"/>
          <w:b/>
          <w:bCs/>
          <w:sz w:val="18"/>
          <w:szCs w:val="18"/>
          <w:lang w:eastAsia="zh-CN"/>
        </w:rPr>
        <w:t xml:space="preserve"> Effect of single-agent HDAC inhibitors on GBM cell viability.</w:t>
      </w:r>
      <w:r>
        <w:rPr>
          <w:rFonts w:hint="eastAsia" w:eastAsiaTheme="minorEastAsia"/>
          <w:b/>
          <w:bCs/>
          <w:sz w:val="18"/>
          <w:szCs w:val="18"/>
          <w:lang w:val="en-US" w:eastAsia="zh-CN"/>
        </w:rPr>
        <w:t xml:space="preserve"> </w:t>
      </w:r>
      <w:r>
        <w:rPr>
          <w:rFonts w:eastAsiaTheme="minorEastAsia"/>
          <w:sz w:val="18"/>
          <w:szCs w:val="18"/>
          <w:lang w:eastAsia="zh-CN"/>
        </w:rPr>
        <w:t>U251 cells were treated with increasing concentrations (</w:t>
      </w:r>
      <w:r>
        <w:rPr>
          <w:rFonts w:hint="eastAsia" w:eastAsiaTheme="minorEastAsia"/>
          <w:sz w:val="18"/>
          <w:szCs w:val="18"/>
          <w:lang w:eastAsia="zh-CN"/>
        </w:rPr>
        <w:t>0.25</w:t>
      </w:r>
      <w:r>
        <w:rPr>
          <w:rFonts w:hint="eastAsia" w:eastAsiaTheme="minorEastAsia"/>
          <w:sz w:val="18"/>
          <w:szCs w:val="18"/>
          <w:lang w:val="en-US" w:eastAsia="zh-CN"/>
        </w:rPr>
        <w:t xml:space="preserve"> </w:t>
      </w:r>
      <w:r>
        <w:rPr>
          <w:rFonts w:hint="eastAsia" w:eastAsiaTheme="minorEastAsia"/>
          <w:sz w:val="18"/>
          <w:szCs w:val="18"/>
          <w:lang w:eastAsia="zh-CN"/>
        </w:rPr>
        <w:t>µ</w:t>
      </w:r>
      <w:r>
        <w:rPr>
          <w:rFonts w:eastAsiaTheme="minorEastAsia"/>
          <w:sz w:val="18"/>
          <w:szCs w:val="18"/>
          <w:lang w:eastAsia="zh-CN"/>
        </w:rPr>
        <w:t>M to</w:t>
      </w:r>
      <w:r>
        <w:rPr>
          <w:rFonts w:hint="eastAsia" w:eastAsiaTheme="minorEastAsia"/>
          <w:sz w:val="18"/>
          <w:szCs w:val="18"/>
          <w:lang w:eastAsia="zh-CN"/>
        </w:rPr>
        <w:t xml:space="preserve"> 64</w:t>
      </w:r>
      <w:r>
        <w:rPr>
          <w:rFonts w:hint="eastAsia" w:eastAsiaTheme="minorEastAsia"/>
          <w:sz w:val="18"/>
          <w:szCs w:val="18"/>
          <w:lang w:val="en-US" w:eastAsia="zh-CN"/>
        </w:rPr>
        <w:t xml:space="preserve"> </w:t>
      </w:r>
      <w:r>
        <w:rPr>
          <w:rFonts w:hint="eastAsia" w:eastAsiaTheme="minorEastAsia"/>
          <w:sz w:val="18"/>
          <w:szCs w:val="18"/>
          <w:lang w:eastAsia="zh-CN"/>
        </w:rPr>
        <w:t>µ</w:t>
      </w:r>
      <w:r>
        <w:rPr>
          <w:rFonts w:eastAsiaTheme="minorEastAsia"/>
          <w:sz w:val="18"/>
          <w:szCs w:val="18"/>
          <w:lang w:eastAsia="zh-CN"/>
        </w:rPr>
        <w:t xml:space="preserve">M) of Entinostat, Tucidinostat, or Vorinostat for 72 h, and cell viability was assessed via CCK-8 assay. At the </w:t>
      </w:r>
      <w:r>
        <w:rPr>
          <w:rFonts w:hint="eastAsia" w:eastAsiaTheme="minorEastAsia"/>
          <w:sz w:val="18"/>
          <w:szCs w:val="18"/>
          <w:lang w:eastAsia="zh-CN"/>
        </w:rPr>
        <w:t>1</w:t>
      </w:r>
      <w:r>
        <w:rPr>
          <w:rFonts w:hint="eastAsia" w:eastAsiaTheme="minorEastAsia"/>
          <w:sz w:val="18"/>
          <w:szCs w:val="18"/>
          <w:lang w:val="en-US" w:eastAsia="zh-CN"/>
        </w:rPr>
        <w:t xml:space="preserve"> </w:t>
      </w:r>
      <w:bookmarkStart w:id="3" w:name="_GoBack"/>
      <w:bookmarkEnd w:id="3"/>
      <w:r>
        <w:rPr>
          <w:rFonts w:hint="eastAsia" w:eastAsiaTheme="minorEastAsia"/>
          <w:sz w:val="18"/>
          <w:szCs w:val="18"/>
          <w:lang w:eastAsia="zh-CN"/>
        </w:rPr>
        <w:t>µ</w:t>
      </w:r>
      <w:r>
        <w:rPr>
          <w:rFonts w:eastAsiaTheme="minorEastAsia"/>
          <w:sz w:val="18"/>
          <w:szCs w:val="18"/>
          <w:lang w:eastAsia="zh-CN"/>
        </w:rPr>
        <w:t>M concentration, all three inhibitors exhibited minimal direct cytotoxicity, with cell viability remaining above 90%.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6C"/>
    <w:rsid w:val="0001226C"/>
    <w:rsid w:val="000318E8"/>
    <w:rsid w:val="00081052"/>
    <w:rsid w:val="000B59C7"/>
    <w:rsid w:val="0016455A"/>
    <w:rsid w:val="001B5027"/>
    <w:rsid w:val="00204ADD"/>
    <w:rsid w:val="00251345"/>
    <w:rsid w:val="00263790"/>
    <w:rsid w:val="00267121"/>
    <w:rsid w:val="002C2D3E"/>
    <w:rsid w:val="002F2643"/>
    <w:rsid w:val="003349A4"/>
    <w:rsid w:val="00364E81"/>
    <w:rsid w:val="003E1ADC"/>
    <w:rsid w:val="004576E8"/>
    <w:rsid w:val="00506AE8"/>
    <w:rsid w:val="00532249"/>
    <w:rsid w:val="00554A62"/>
    <w:rsid w:val="00560C1C"/>
    <w:rsid w:val="0058776D"/>
    <w:rsid w:val="005B3E80"/>
    <w:rsid w:val="00614EB7"/>
    <w:rsid w:val="006153BC"/>
    <w:rsid w:val="00636E09"/>
    <w:rsid w:val="0065014C"/>
    <w:rsid w:val="00661D8A"/>
    <w:rsid w:val="00700802"/>
    <w:rsid w:val="00726177"/>
    <w:rsid w:val="0075453B"/>
    <w:rsid w:val="00814545"/>
    <w:rsid w:val="0084635C"/>
    <w:rsid w:val="00857C2C"/>
    <w:rsid w:val="0089005C"/>
    <w:rsid w:val="00896EAA"/>
    <w:rsid w:val="008C062C"/>
    <w:rsid w:val="008F3A20"/>
    <w:rsid w:val="009019CC"/>
    <w:rsid w:val="009054BF"/>
    <w:rsid w:val="00913882"/>
    <w:rsid w:val="009D550E"/>
    <w:rsid w:val="009E6DB4"/>
    <w:rsid w:val="00A01F88"/>
    <w:rsid w:val="00A207BF"/>
    <w:rsid w:val="00A47776"/>
    <w:rsid w:val="00A7048A"/>
    <w:rsid w:val="00A77313"/>
    <w:rsid w:val="00AA08BB"/>
    <w:rsid w:val="00AB5C23"/>
    <w:rsid w:val="00AC4295"/>
    <w:rsid w:val="00AF39D1"/>
    <w:rsid w:val="00B16D34"/>
    <w:rsid w:val="00B45939"/>
    <w:rsid w:val="00B73271"/>
    <w:rsid w:val="00B84615"/>
    <w:rsid w:val="00B9470A"/>
    <w:rsid w:val="00BB0D7E"/>
    <w:rsid w:val="00BB6774"/>
    <w:rsid w:val="00BF30AF"/>
    <w:rsid w:val="00C20D8D"/>
    <w:rsid w:val="00C4553A"/>
    <w:rsid w:val="00C75464"/>
    <w:rsid w:val="00C91B6B"/>
    <w:rsid w:val="00D021C5"/>
    <w:rsid w:val="00D20629"/>
    <w:rsid w:val="00D35834"/>
    <w:rsid w:val="00D743DD"/>
    <w:rsid w:val="00DB2F6F"/>
    <w:rsid w:val="00DD6B4A"/>
    <w:rsid w:val="00E04579"/>
    <w:rsid w:val="00E11F13"/>
    <w:rsid w:val="00E83440"/>
    <w:rsid w:val="00E87DC3"/>
    <w:rsid w:val="00EB3B24"/>
    <w:rsid w:val="00EC006F"/>
    <w:rsid w:val="00EC5E51"/>
    <w:rsid w:val="00ED49C2"/>
    <w:rsid w:val="00EE5776"/>
    <w:rsid w:val="00EE6279"/>
    <w:rsid w:val="00F34DEC"/>
    <w:rsid w:val="00F62ADF"/>
    <w:rsid w:val="00F62FD4"/>
    <w:rsid w:val="00F70EBE"/>
    <w:rsid w:val="00F8179E"/>
    <w:rsid w:val="00FA1D72"/>
    <w:rsid w:val="00FC18FF"/>
    <w:rsid w:val="00FC7D71"/>
    <w:rsid w:val="00FD6CB7"/>
    <w:rsid w:val="00FE5B7D"/>
    <w:rsid w:val="04A9250C"/>
    <w:rsid w:val="137B1518"/>
    <w:rsid w:val="34A00986"/>
    <w:rsid w:val="34A71D15"/>
    <w:rsid w:val="355754E9"/>
    <w:rsid w:val="371A4A20"/>
    <w:rsid w:val="44223166"/>
    <w:rsid w:val="5F6B1256"/>
    <w:rsid w:val="601D2D07"/>
    <w:rsid w:val="60F872D1"/>
    <w:rsid w:val="65222B6E"/>
    <w:rsid w:val="74A84EEA"/>
    <w:rsid w:val="7C23124E"/>
    <w:rsid w:val="7DAE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kern w:val="0"/>
      <w:sz w:val="22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9"/>
    <w:qFormat/>
    <w:uiPriority w:val="1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7"/>
    <w:qFormat/>
    <w:uiPriority w:val="1"/>
    <w:rPr>
      <w:sz w:val="18"/>
      <w:szCs w:val="18"/>
    </w:r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99"/>
    <w:pPr>
      <w:widowControl w:val="0"/>
      <w:jc w:val="both"/>
    </w:pPr>
    <w:rPr>
      <w:kern w:val="0"/>
      <w:sz w:val="20"/>
      <w:szCs w:val="20"/>
      <w14:ligatures w14:val="none"/>
    </w:rPr>
    <w:tblPr>
      <w:tblBorders>
        <w:bottom w:val="single" w:color="auto" w:sz="6" w:space="0"/>
      </w:tblBorders>
    </w:tblPr>
  </w:style>
  <w:style w:type="character" w:customStyle="1" w:styleId="19">
    <w:name w:val="标题 1 字符"/>
    <w:basedOn w:val="18"/>
    <w:link w:val="2"/>
    <w:qFormat/>
    <w:uiPriority w:val="1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8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正文文本 字符"/>
    <w:basedOn w:val="18"/>
    <w:link w:val="11"/>
    <w:qFormat/>
    <w:uiPriority w:val="1"/>
    <w:rPr>
      <w:rFonts w:ascii="Times New Roman" w:hAnsi="Times New Roman" w:eastAsia="Times New Roman" w:cs="Times New Roman"/>
      <w:kern w:val="0"/>
      <w:sz w:val="18"/>
      <w:szCs w:val="18"/>
      <w:lang w:eastAsia="en-US"/>
      <w14:ligatures w14:val="none"/>
    </w:rPr>
  </w:style>
  <w:style w:type="character" w:customStyle="1" w:styleId="38">
    <w:name w:val="页眉 字符"/>
    <w:basedOn w:val="18"/>
    <w:link w:val="13"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  <w14:ligatures w14:val="none"/>
    </w:rPr>
  </w:style>
  <w:style w:type="character" w:customStyle="1" w:styleId="39">
    <w:name w:val="页脚 字符"/>
    <w:basedOn w:val="18"/>
    <w:link w:val="12"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3B13BF-BA90-44E1-BEE4-38049976B5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475</Words>
  <Characters>3343</Characters>
  <Lines>345</Lines>
  <Paragraphs>303</Paragraphs>
  <TotalTime>0</TotalTime>
  <ScaleCrop>false</ScaleCrop>
  <LinksUpToDate>false</LinksUpToDate>
  <CharactersWithSpaces>3559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2026-07-03T15:25:00Z</dcterms:created>
  <dc:creator>Ruijie Chen</dc:creator>
  <cp:lastModifiedBy>WPS_1779696570</cp:lastModifiedBy>
  <dcterms:modified xsi:type="dcterms:W3CDTF">2026-07-10T07:30:33Z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eyJoZGlkIjoiMmI5ZjVlYTFlNGYzYzc0ODBkNTM4OTQ4YjE0MzYwMzEiLCJ1c2VySWQiOiIxMzc0NDI4MTAwMDMifQ==</vt:lpwstr>
  </property>
  <property fmtid="{D5CDD505-2E9C-101B-9397-08002B2CF9AE}" pid="3" name="KSOProductBuildVer">
    <vt:lpwstr>2052-12.1.0.25862</vt:lpwstr>
  </property>
  <property fmtid="{D5CDD505-2E9C-101B-9397-08002B2CF9AE}" pid="4" name="ICV">
    <vt:lpwstr>06CD690E14E9414E888AD696ED846581_12</vt:lpwstr>
  </property>
</Properties>
</file>